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61" w:rsidRDefault="00F22961">
      <w:pPr>
        <w:pStyle w:val="ConsPlusNormal"/>
        <w:jc w:val="right"/>
        <w:outlineLvl w:val="0"/>
      </w:pPr>
      <w:r>
        <w:t>Приложение N 11</w:t>
      </w:r>
    </w:p>
    <w:p w:rsidR="00F22961" w:rsidRDefault="00F22961">
      <w:pPr>
        <w:pStyle w:val="ConsPlusNormal"/>
        <w:jc w:val="right"/>
      </w:pPr>
      <w:r>
        <w:t>к программе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Title"/>
        <w:jc w:val="center"/>
      </w:pPr>
      <w:r>
        <w:t>ПРАВИЛА</w:t>
      </w:r>
    </w:p>
    <w:p w:rsidR="00F22961" w:rsidRDefault="00F22961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F22961" w:rsidRDefault="00F22961">
      <w:pPr>
        <w:pStyle w:val="ConsPlusTitle"/>
        <w:jc w:val="center"/>
      </w:pPr>
      <w:r>
        <w:t>БЮДЖЕТА БЮДЖЕТАМ МУНИЦИПАЛЬНЫХ ОБРАЗОВАНИЙ</w:t>
      </w:r>
    </w:p>
    <w:p w:rsidR="00F22961" w:rsidRDefault="00F22961">
      <w:pPr>
        <w:pStyle w:val="ConsPlusTitle"/>
        <w:jc w:val="center"/>
      </w:pPr>
      <w:r>
        <w:t>НА ГОСУДАРСТВЕННУЮ ФИНАНСОВУЮ ПОДДЕРЖКУ ЗАКУПКИ И ДОСТАВКИ</w:t>
      </w:r>
    </w:p>
    <w:p w:rsidR="00F22961" w:rsidRDefault="00F22961">
      <w:pPr>
        <w:pStyle w:val="ConsPlusTitle"/>
        <w:jc w:val="center"/>
      </w:pPr>
      <w:r>
        <w:t>НЕФТЕПРОДУКТОВ И ТОПЛИВА В РАЙОНЫ МУРМАНСКОЙ ОБЛАСТИ</w:t>
      </w:r>
    </w:p>
    <w:p w:rsidR="00F22961" w:rsidRDefault="00F22961">
      <w:pPr>
        <w:pStyle w:val="ConsPlusTitle"/>
        <w:jc w:val="center"/>
      </w:pPr>
      <w:r>
        <w:t>С ОГРАНИЧЕННЫМИ СРОКАМИ ЗАВОЗА ГРУЗОВ</w:t>
      </w:r>
    </w:p>
    <w:p w:rsidR="00F22961" w:rsidRDefault="00F2296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2296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2961" w:rsidRDefault="00F2296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2961" w:rsidRDefault="00F2296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22961" w:rsidRDefault="00F2296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2961" w:rsidRDefault="00F2296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F22961" w:rsidRDefault="00F229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10.02.2021 </w:t>
            </w:r>
            <w:hyperlink r:id="rId5">
              <w:r>
                <w:rPr>
                  <w:color w:val="0000FF"/>
                </w:rPr>
                <w:t>N 77-ПП</w:t>
              </w:r>
            </w:hyperlink>
            <w:r>
              <w:rPr>
                <w:color w:val="392C69"/>
              </w:rPr>
              <w:t xml:space="preserve">, от 05.03.2022 </w:t>
            </w:r>
            <w:hyperlink r:id="rId6">
              <w:r>
                <w:rPr>
                  <w:color w:val="0000FF"/>
                </w:rPr>
                <w:t>N 149-ПП</w:t>
              </w:r>
            </w:hyperlink>
            <w:r>
              <w:rPr>
                <w:color w:val="392C69"/>
              </w:rPr>
              <w:t xml:space="preserve">, от 20.10.2022 </w:t>
            </w:r>
            <w:hyperlink r:id="rId7">
              <w:r>
                <w:rPr>
                  <w:color w:val="0000FF"/>
                </w:rPr>
                <w:t>N 822-ПП</w:t>
              </w:r>
            </w:hyperlink>
            <w:r>
              <w:rPr>
                <w:color w:val="392C69"/>
              </w:rPr>
              <w:t>,</w:t>
            </w:r>
          </w:p>
          <w:p w:rsidR="00F22961" w:rsidRDefault="00F2296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28.04.2023 </w:t>
            </w:r>
            <w:hyperlink r:id="rId8">
              <w:r>
                <w:rPr>
                  <w:color w:val="0000FF"/>
                </w:rPr>
                <w:t>N 330-ПП</w:t>
              </w:r>
            </w:hyperlink>
            <w:r>
              <w:rPr>
                <w:color w:val="392C69"/>
              </w:rPr>
              <w:t xml:space="preserve">, от 05.06.2023 </w:t>
            </w:r>
            <w:hyperlink r:id="rId9">
              <w:r>
                <w:rPr>
                  <w:color w:val="0000FF"/>
                </w:rPr>
                <w:t>N 417-ПП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2961" w:rsidRDefault="00F22961">
            <w:pPr>
              <w:pStyle w:val="ConsPlusNormal"/>
            </w:pPr>
          </w:p>
        </w:tc>
      </w:tr>
    </w:tbl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ind w:firstLine="540"/>
        <w:jc w:val="both"/>
      </w:pPr>
      <w:r>
        <w:t>1. Настоящие Правила определяют цели, порядок и условия предоставления и распределения субсидий из областного бюджета бюджетам муниципальных образований Мурманской области на государственную финансовую поддержку закупки и доставки нефтепродуктов и топлива (далее - нефтепродукты) в районы Мурманской области с ограниченными сроками завоза грузов (далее соответственно - Правила, субсидии).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2. В настоящих Правилах используются следующие основные термины и понятия: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текущий год - год предоставления субсидий;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отчетный год - год, предшествующий году предоставления субсидий;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очередной год - год, следующий за годом предоставления субсидий.</w:t>
      </w:r>
    </w:p>
    <w:p w:rsidR="00F22961" w:rsidRDefault="00F22961">
      <w:pPr>
        <w:pStyle w:val="ConsPlusNormal"/>
        <w:spacing w:before="220"/>
        <w:ind w:firstLine="540"/>
        <w:jc w:val="both"/>
      </w:pPr>
      <w:bookmarkStart w:id="0" w:name="P19"/>
      <w:bookmarkEnd w:id="0"/>
      <w:r>
        <w:t>3. Субсидия предоставляется в целях софинансирования расходных обязательств муниципальных образований по закупке и доставке нефтепродуктов и топлива в населенные пункты Мурманской области, отнесенные к районам с ограниченными сроками завоза грузов, в рамках мероприятий муниципальных программ (или разделов муниципальных программ) при исполнении полномочий по организации электроснабжения в границах поселений.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4. Субсидия предоставляется в соответствии со </w:t>
      </w:r>
      <w:hyperlink r:id="rId10">
        <w:r>
          <w:rPr>
            <w:color w:val="0000FF"/>
          </w:rPr>
          <w:t>статьей 139</w:t>
        </w:r>
      </w:hyperlink>
      <w:r>
        <w:t xml:space="preserve"> Бюджетного кодекса Российской Федерации, </w:t>
      </w:r>
      <w:hyperlink r:id="rId1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на цели, указанные в </w:t>
      </w:r>
      <w:hyperlink w:anchor="P19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5. Главным распорядителем средств областного бюджета, осуществляющим предоставление субсидии, в рамках настоящих Правил является Министерство энергетики и жилищно-коммунального хозяйства Мурманской области (далее - главный распорядитель, Министерство).</w:t>
      </w:r>
    </w:p>
    <w:p w:rsidR="00F22961" w:rsidRDefault="00F22961">
      <w:pPr>
        <w:pStyle w:val="ConsPlusNormal"/>
        <w:spacing w:before="220"/>
        <w:ind w:firstLine="540"/>
        <w:jc w:val="both"/>
      </w:pPr>
      <w:bookmarkStart w:id="1" w:name="P22"/>
      <w:bookmarkEnd w:id="1"/>
      <w:r>
        <w:t xml:space="preserve">6. Право на получение субсидии имеют муниципальные образования, на территории которых расположены населенные пункты, отнесенные к районам с ограниченными сроками завоза грузов в соответствии с </w:t>
      </w:r>
      <w:hyperlink r:id="rId1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24.03.2008 N 125-ПП.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7. Субсидии предоставляются бюджетам муниципальных образований в соответствии со сводной бюджетной росписью областного бюджета, кассовым планом, в пределах лимитов бюджетных обязательств, предусмотренных Министерству на цели, указанные в </w:t>
      </w:r>
      <w:hyperlink w:anchor="P19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Субсидия, за исключением средств, выделяемых из резервного фонда Правительства </w:t>
      </w:r>
      <w:r>
        <w:lastRenderedPageBreak/>
        <w:t xml:space="preserve">Мурманской области, распределяется в соответствии с </w:t>
      </w:r>
      <w:hyperlink r:id="rId13">
        <w:r>
          <w:rPr>
            <w:color w:val="0000FF"/>
          </w:rPr>
          <w:t>Методикой</w:t>
        </w:r>
      </w:hyperlink>
      <w:r>
        <w:t xml:space="preserve"> распределения субсидий, предоставляемых из областного бюджета бюджетам муниципальных образований на государственную финансовую поддержку закупки и доставки нефтепродуктов и топлива в районы Мурманской области с ограниченными сроками завоза грузов, являющейся приложением N 12 к государственной программе Мурманской области.</w:t>
      </w:r>
      <w:proofErr w:type="gramEnd"/>
      <w:r>
        <w:t xml:space="preserve"> В целях распределения субсидии между муниципальными образованиями на очередной год и плановый </w:t>
      </w:r>
      <w:proofErr w:type="gramStart"/>
      <w:r>
        <w:t>период</w:t>
      </w:r>
      <w:proofErr w:type="gramEnd"/>
      <w:r>
        <w:t xml:space="preserve"> муниципальные образования направляют в срок до 15 августа текущего года расчет плановой потребности в нефтепродуктах на очередной год и расчет средневзвешенной конечной цены 1 тонны нефтепродуктов в текущем году по форме, утвержденной приказом Министерства.</w:t>
      </w:r>
    </w:p>
    <w:p w:rsidR="00F22961" w:rsidRDefault="00F22961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05.06.2023 N 417-ПП)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Размер субсидии за счет средств резервного фонда Правительства Мурманской области, предоставляемой в 2022 году бюджетам муниципальных образований,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в </w:t>
      </w:r>
      <w:hyperlink w:anchor="P19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F22961" w:rsidRDefault="00F22961">
      <w:pPr>
        <w:pStyle w:val="ConsPlusNormal"/>
        <w:jc w:val="both"/>
      </w:pPr>
      <w:r>
        <w:t xml:space="preserve">(п. 8 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20.10.2022 N 822-ПП)</w:t>
      </w:r>
    </w:p>
    <w:p w:rsidR="00F22961" w:rsidRDefault="00F22961">
      <w:pPr>
        <w:pStyle w:val="ConsPlusNormal"/>
        <w:spacing w:before="220"/>
        <w:ind w:firstLine="540"/>
        <w:jc w:val="both"/>
      </w:pPr>
      <w:bookmarkStart w:id="2" w:name="P28"/>
      <w:bookmarkEnd w:id="2"/>
      <w:r>
        <w:t>9. Условиями предоставления субсидий являются: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6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28.04.2023 N 330-ПП;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- централизация закупок в соответствии с </w:t>
      </w:r>
      <w:hyperlink r:id="rId17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наличие программ, утвержденных правовыми актами муниципального образования, утверждающих перечень мероприятий, в целях софинансирования которых предоставляется субсидия;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заключение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субсидия, и ответственность за невыполнение предусмотренных указанным соглашением обязательств (далее - Соглашение).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10. Соглашение должно содержать положения, указанные в </w:t>
      </w:r>
      <w:hyperlink r:id="rId18">
        <w:r>
          <w:rPr>
            <w:color w:val="0000FF"/>
          </w:rPr>
          <w:t>пункте 7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9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05.03.2022 N 149-ПП.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11. 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 софинансирования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F22961" w:rsidRDefault="00F22961">
      <w:pPr>
        <w:pStyle w:val="ConsPlusNormal"/>
        <w:spacing w:before="220"/>
        <w:ind w:firstLine="540"/>
        <w:jc w:val="both"/>
      </w:pPr>
      <w:bookmarkStart w:id="3" w:name="P36"/>
      <w:bookmarkEnd w:id="3"/>
      <w:r>
        <w:t xml:space="preserve">12.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утвержденный постановлением Правительством Мурманской области на </w:t>
      </w:r>
      <w:r>
        <w:lastRenderedPageBreak/>
        <w:t>соответствующий финансовый год.</w:t>
      </w:r>
    </w:p>
    <w:p w:rsidR="00F22961" w:rsidRDefault="00F22961">
      <w:pPr>
        <w:pStyle w:val="ConsPlusNormal"/>
        <w:spacing w:before="22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F22961" w:rsidRDefault="00F22961">
      <w:pPr>
        <w:pStyle w:val="ConsPlusNormal"/>
        <w:spacing w:before="220"/>
        <w:ind w:firstLine="540"/>
        <w:jc w:val="both"/>
      </w:pPr>
      <w:r>
        <w:t>13. Соглашения заключаются в соответствии с типовой формой соглашения, утвержденной Министерством финансов Мурманской области.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Предоставление субсидий осуществляется на основании соглашения,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комплекс), с направлением посредством программного комплекса следующих документов: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- копии утвержденной в установленном порядке муниципальной программы с планом мероприятий, подлежащих </w:t>
      </w:r>
      <w:proofErr w:type="spellStart"/>
      <w:r>
        <w:t>софинансированию</w:t>
      </w:r>
      <w:proofErr w:type="spellEnd"/>
      <w:r>
        <w:t xml:space="preserve"> за счет средств областного бюджета, с указанием объемов финансирования мероприятий за счет средств областного и местного бюджетов;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выписки из решения о бюджете муниципального образования или выписки из сводной бюджетной росписи о размере собственных средств, предусмотренных на финансирование расходов на реализацию мероприятий предоставленной муниципальной программы, подписанной главой администрации муниципального образования или лицом, исполняющим его обязанности;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расчета плановой потребности в нефтепродуктах на текущий год по форме, утвержденной Министерством;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- отчета о фактическом потреблении топлива за отчетный год по форме, утвержденной Министерством.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Представление отчетности, предусмотренной </w:t>
      </w:r>
      <w:hyperlink w:anchor="P51">
        <w:r>
          <w:rPr>
            <w:color w:val="0000FF"/>
          </w:rPr>
          <w:t>пунктами 16</w:t>
        </w:r>
      </w:hyperlink>
      <w:r>
        <w:t xml:space="preserve"> и </w:t>
      </w:r>
      <w:hyperlink w:anchor="P53">
        <w:r>
          <w:rPr>
            <w:color w:val="0000FF"/>
          </w:rPr>
          <w:t>17</w:t>
        </w:r>
      </w:hyperlink>
      <w:r>
        <w:t xml:space="preserve"> настоящих Правил, осуществляется посредством программного комплекса.</w:t>
      </w:r>
    </w:p>
    <w:p w:rsidR="00F22961" w:rsidRDefault="00F22961">
      <w:pPr>
        <w:pStyle w:val="ConsPlusNormal"/>
        <w:jc w:val="both"/>
      </w:pPr>
      <w:r>
        <w:t xml:space="preserve">(п. 13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149-ПП)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14. Несоответствие муниципального образования критериям и условиям, определенным в </w:t>
      </w:r>
      <w:hyperlink w:anchor="P22">
        <w:r>
          <w:rPr>
            <w:color w:val="0000FF"/>
          </w:rPr>
          <w:t>пунктах 6</w:t>
        </w:r>
      </w:hyperlink>
      <w:r>
        <w:t xml:space="preserve"> и </w:t>
      </w:r>
      <w:hyperlink w:anchor="P28">
        <w:r>
          <w:rPr>
            <w:color w:val="0000FF"/>
          </w:rPr>
          <w:t>9</w:t>
        </w:r>
      </w:hyperlink>
      <w:r>
        <w:t xml:space="preserve"> настоящих Правил, является основанием для отказа в предоставлении субсидии.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15. Перечисление субсидии в местные бюджеты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межбюджетные трансферты из областного бюджета.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F22961" w:rsidRDefault="00F22961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10.02.2021 N 77-ПП)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Перечисление субсидии в бюджет муниципального образования осуществляется на основании заявки уполномоченного органа местного самоуправления муниципального образования о перечислении субсидии, представляемой в Министерство по форме, установленной приказом Министерства.</w:t>
      </w:r>
    </w:p>
    <w:p w:rsidR="00F22961" w:rsidRDefault="00F22961">
      <w:pPr>
        <w:pStyle w:val="ConsPlusNormal"/>
        <w:spacing w:before="220"/>
        <w:ind w:firstLine="540"/>
        <w:jc w:val="both"/>
      </w:pPr>
      <w:bookmarkStart w:id="4" w:name="P51"/>
      <w:bookmarkEnd w:id="4"/>
      <w:r>
        <w:lastRenderedPageBreak/>
        <w:t>16. Показателем результативности использования субсидии является доля закупленных и доставленных нефтепродуктов и топлива по состоянию на 31 декабря текущего года от планового объема завоза.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Министерство осуществляет оценку результативности использования субсидии на основании сравнения объема нефтепродуктов, фактически закупленного и доставленного в населенные пункты, отнесенные к районам с ограниченными сроками завоза грузов, с плановыми объемами завоза грузов, установленными Соглашением.</w:t>
      </w:r>
    </w:p>
    <w:p w:rsidR="00F22961" w:rsidRDefault="00F22961">
      <w:pPr>
        <w:pStyle w:val="ConsPlusNormal"/>
        <w:spacing w:before="220"/>
        <w:ind w:firstLine="540"/>
        <w:jc w:val="both"/>
      </w:pPr>
      <w:bookmarkStart w:id="5" w:name="P53"/>
      <w:bookmarkEnd w:id="5"/>
      <w:r>
        <w:t>17. Отчет о расходовании субсидии представляется в Министерство ежемесячно, до 5-го числа месяца, следующего за отчетным, по форме, утверждаемой приказом Министерства.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18. Отчет о достижении значений целевых показателей результативности представляется в Министерство ежемесячно до 5-го числа месяца, следующего за отчетным (начиная с месяца, следующего за месяцем подписания Соглашения), по форме, утверждаемой приказом Министерства.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19. 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Министерства.</w:t>
      </w:r>
    </w:p>
    <w:p w:rsidR="00F22961" w:rsidRDefault="00F22961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Министерством.</w:t>
      </w:r>
    </w:p>
    <w:p w:rsidR="00F22961" w:rsidRDefault="00F22961">
      <w:pPr>
        <w:pStyle w:val="ConsPlusNormal"/>
        <w:spacing w:before="220"/>
        <w:ind w:firstLine="540"/>
        <w:jc w:val="both"/>
      </w:pPr>
      <w:bookmarkStart w:id="6" w:name="P57"/>
      <w:bookmarkEnd w:id="6"/>
      <w:r>
        <w:t xml:space="preserve">20.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51">
        <w:r>
          <w:rPr>
            <w:color w:val="0000FF"/>
          </w:rPr>
          <w:t>пунктом 16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субсидии, определяется по формуле: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center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(</w:t>
      </w:r>
      <w:proofErr w:type="spellStart"/>
      <w:r>
        <w:t>Vсубсидии</w:t>
      </w:r>
      <w:proofErr w:type="spellEnd"/>
      <w:r>
        <w:t xml:space="preserve"> x k x m / n) x 0,1, где: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субсидии</w:t>
      </w:r>
      <w:proofErr w:type="spellEnd"/>
      <w:r>
        <w:t xml:space="preserve"> - размер субсидии, предоставленной местному бюджету в отчетном финансовом году;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предоставления субсидии, имеет положительное значение;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n - общее количество показателей результативности использования субсидии;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k - коэффициент возврата субсидии.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При расчете объема средств, подлежащих возврату из местного бюджета в областной бюджет, в размере субсидии, предоставленной местному бюджету в отчетном финансовом году (</w:t>
      </w:r>
      <w:proofErr w:type="spellStart"/>
      <w:proofErr w:type="gramStart"/>
      <w:r>
        <w:t>V</w:t>
      </w:r>
      <w:proofErr w:type="gramEnd"/>
      <w:r>
        <w:t>субсидии</w:t>
      </w:r>
      <w:proofErr w:type="spellEnd"/>
      <w:r>
        <w:t>), не учитывается размер остатка субсидии, не использованного по состоянию на 1 января текущего финансового года.</w:t>
      </w:r>
    </w:p>
    <w:p w:rsidR="00F22961" w:rsidRDefault="00F22961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10.02.2021 N 77-ПП)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lastRenderedPageBreak/>
        <w:t>Коэффициент возврата субсидии рассчитывается по формуле:</w:t>
      </w:r>
    </w:p>
    <w:p w:rsidR="00F22961" w:rsidRDefault="00F22961">
      <w:pPr>
        <w:pStyle w:val="ConsPlusNormal"/>
        <w:jc w:val="both"/>
      </w:pPr>
    </w:p>
    <w:p w:rsidR="00F22961" w:rsidRPr="00F22961" w:rsidRDefault="00F22961">
      <w:pPr>
        <w:pStyle w:val="ConsPlusNormal"/>
        <w:jc w:val="center"/>
        <w:rPr>
          <w:lang w:val="en-US"/>
        </w:rPr>
      </w:pPr>
      <w:r w:rsidRPr="00F22961">
        <w:rPr>
          <w:lang w:val="en-US"/>
        </w:rPr>
        <w:t xml:space="preserve">k = SUM Di / m, </w:t>
      </w:r>
      <w:r>
        <w:t>где</w:t>
      </w:r>
      <w:r w:rsidRPr="00F22961">
        <w:rPr>
          <w:lang w:val="en-US"/>
        </w:rPr>
        <w:t>:</w:t>
      </w:r>
    </w:p>
    <w:p w:rsidR="00F22961" w:rsidRPr="00F22961" w:rsidRDefault="00F22961">
      <w:pPr>
        <w:pStyle w:val="ConsPlusNormal"/>
        <w:jc w:val="both"/>
        <w:rPr>
          <w:lang w:val="en-US"/>
        </w:rPr>
      </w:pPr>
    </w:p>
    <w:p w:rsidR="00F22961" w:rsidRDefault="00F22961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субсидии.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определяется: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а)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субсидии, - по формуле: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Ti</w:t>
      </w:r>
      <w:proofErr w:type="spellEnd"/>
      <w:r>
        <w:t xml:space="preserve"> / </w:t>
      </w:r>
      <w:proofErr w:type="spellStart"/>
      <w:r>
        <w:t>Si</w:t>
      </w:r>
      <w:proofErr w:type="spellEnd"/>
      <w:r>
        <w:t>, где: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ind w:firstLine="540"/>
        <w:jc w:val="both"/>
      </w:pPr>
      <w:proofErr w:type="spellStart"/>
      <w:r>
        <w:t>Ti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 на отчетную дату;</w:t>
      </w:r>
    </w:p>
    <w:p w:rsidR="00F22961" w:rsidRDefault="00F22961">
      <w:pPr>
        <w:pStyle w:val="ConsPlusNormal"/>
        <w:spacing w:before="220"/>
        <w:ind w:firstLine="540"/>
        <w:jc w:val="both"/>
      </w:pPr>
      <w:proofErr w:type="spellStart"/>
      <w:r>
        <w:t>Si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субсидии, установленное Соглашением;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б)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- по формуле: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Si</w:t>
      </w:r>
      <w:proofErr w:type="spellEnd"/>
      <w:r>
        <w:t xml:space="preserve"> / </w:t>
      </w:r>
      <w:proofErr w:type="spellStart"/>
      <w:r>
        <w:t>Ti</w:t>
      </w:r>
      <w:proofErr w:type="spellEnd"/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ind w:firstLine="540"/>
        <w:jc w:val="both"/>
      </w:pPr>
      <w:r>
        <w:t xml:space="preserve">21. Основанием для освобождения муниципальных образований от применения мер ответственности, предусмотренных </w:t>
      </w:r>
      <w:hyperlink w:anchor="P57">
        <w:r>
          <w:rPr>
            <w:color w:val="0000FF"/>
          </w:rPr>
          <w:t>пунктом 20</w:t>
        </w:r>
      </w:hyperlink>
      <w:r>
        <w:t xml:space="preserve"> настоящих Правил,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1) установление регионального (межмуниципального) и (или) местного уровня реагирования на чрезвычайную ситуацию, введение ограничительных мероприятий, направленных на обеспечение санитарно-эпидемиологического благополучия населения, подтвержденное правовым актом органа государственной власти Мурманской области и (или) органа местного самоуправления;</w:t>
      </w:r>
    </w:p>
    <w:p w:rsidR="00F22961" w:rsidRDefault="00F22961">
      <w:pPr>
        <w:pStyle w:val="ConsPlusNormal"/>
        <w:spacing w:before="220"/>
        <w:ind w:firstLine="540"/>
        <w:jc w:val="both"/>
      </w:pPr>
      <w:proofErr w:type="gramStart"/>
      <w: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  <w:proofErr w:type="gramEnd"/>
    </w:p>
    <w:p w:rsidR="00F22961" w:rsidRDefault="00F22961">
      <w:pPr>
        <w:pStyle w:val="ConsPlusNormal"/>
        <w:spacing w:before="220"/>
        <w:ind w:firstLine="540"/>
        <w:jc w:val="both"/>
      </w:pPr>
      <w:r>
        <w:t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F22961" w:rsidRDefault="00F22961">
      <w:pPr>
        <w:pStyle w:val="ConsPlusNormal"/>
        <w:spacing w:before="220"/>
        <w:ind w:firstLine="540"/>
        <w:jc w:val="both"/>
      </w:pPr>
      <w:r>
        <w:t>4) наличие вступившего в законную силу в году предоставления субсидии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части достижения показателей результативности использования субсидий.</w:t>
      </w:r>
    </w:p>
    <w:p w:rsidR="00F22961" w:rsidRDefault="00F22961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57">
        <w:r>
          <w:rPr>
            <w:color w:val="0000FF"/>
          </w:rPr>
          <w:t>пунктом 20</w:t>
        </w:r>
      </w:hyperlink>
      <w:r>
        <w:t xml:space="preserve"> настоящих Правил,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</w:t>
      </w:r>
      <w:proofErr w:type="gramEnd"/>
      <w:r>
        <w:t xml:space="preserve"> средств, рассчитанного в соответствии с </w:t>
      </w:r>
      <w:hyperlink w:anchor="P57">
        <w:r>
          <w:rPr>
            <w:color w:val="0000FF"/>
          </w:rPr>
          <w:t>пунктом 20</w:t>
        </w:r>
      </w:hyperlink>
      <w:r>
        <w:t xml:space="preserve"> настоящих Правил, с указанием сумм, подлежащих возврату, средств и сроков их возврата в соответствии с настоящими Правилами.</w:t>
      </w:r>
    </w:p>
    <w:p w:rsidR="00F22961" w:rsidRDefault="00F22961">
      <w:pPr>
        <w:pStyle w:val="ConsPlusNormal"/>
        <w:jc w:val="both"/>
      </w:pPr>
      <w:r>
        <w:t xml:space="preserve">(п. 21 </w:t>
      </w:r>
      <w:proofErr w:type="gramStart"/>
      <w:r>
        <w:t>введен</w:t>
      </w:r>
      <w:proofErr w:type="gramEnd"/>
      <w:r>
        <w:t xml:space="preserve"> </w:t>
      </w:r>
      <w:hyperlink r:id="rId2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10.02.2021 N 77-ПП)</w:t>
      </w:r>
    </w:p>
    <w:p w:rsidR="00F22961" w:rsidRDefault="00F22961">
      <w:pPr>
        <w:pStyle w:val="ConsPlusNormal"/>
        <w:spacing w:before="220"/>
        <w:ind w:firstLine="540"/>
        <w:jc w:val="both"/>
      </w:pPr>
      <w:hyperlink r:id="rId24">
        <w:proofErr w:type="gramStart"/>
        <w:r>
          <w:rPr>
            <w:color w:val="0000FF"/>
          </w:rPr>
          <w:t>22</w:t>
        </w:r>
      </w:hyperlink>
      <w:r>
        <w:t xml:space="preserve">. 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36">
        <w:r>
          <w:rPr>
            <w:color w:val="0000FF"/>
          </w:rPr>
          <w:t>пунктом 12</w:t>
        </w:r>
      </w:hyperlink>
      <w:r>
        <w:t xml:space="preserve"> настоящих Правил, объем средств, подлежащий возврату из местного бюджета в областной бюджет в срок до 1 июня года, следующего за годом предоставления субсидии (</w:t>
      </w:r>
      <w:proofErr w:type="spellStart"/>
      <w:r>
        <w:t>Sн</w:t>
      </w:r>
      <w:proofErr w:type="spellEnd"/>
      <w:r>
        <w:t>), рассчитывается по формуле:</w:t>
      </w:r>
      <w:proofErr w:type="gramEnd"/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center"/>
      </w:pPr>
      <w:proofErr w:type="spellStart"/>
      <w:r>
        <w:t>Sн</w:t>
      </w:r>
      <w:proofErr w:type="spellEnd"/>
      <w:r>
        <w:t xml:space="preserve"> = </w:t>
      </w:r>
      <w:proofErr w:type="spellStart"/>
      <w:r>
        <w:t>Sф</w:t>
      </w:r>
      <w:proofErr w:type="spellEnd"/>
      <w:r>
        <w:t xml:space="preserve"> - </w:t>
      </w:r>
      <w:proofErr w:type="spellStart"/>
      <w:r>
        <w:t>Sк</w:t>
      </w:r>
      <w:proofErr w:type="spellEnd"/>
      <w:r>
        <w:t xml:space="preserve"> x </w:t>
      </w:r>
      <w:proofErr w:type="spellStart"/>
      <w:proofErr w:type="gramStart"/>
      <w:r>
        <w:t>K</w:t>
      </w:r>
      <w:proofErr w:type="gramEnd"/>
      <w:r>
        <w:t>ф</w:t>
      </w:r>
      <w:proofErr w:type="spellEnd"/>
      <w:r>
        <w:t>, где: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ind w:firstLine="540"/>
        <w:jc w:val="both"/>
      </w:pPr>
      <w:proofErr w:type="spellStart"/>
      <w:proofErr w:type="gramStart"/>
      <w:r>
        <w:t>S</w:t>
      </w:r>
      <w:proofErr w:type="gramEnd"/>
      <w:r>
        <w:t>ф</w:t>
      </w:r>
      <w:proofErr w:type="spellEnd"/>
      <w:r>
        <w:t xml:space="preserve"> - сумма предоставленной субсидии для софинансирования расходного обязательства муниципального образования;</w:t>
      </w:r>
    </w:p>
    <w:p w:rsidR="00F22961" w:rsidRDefault="00F22961">
      <w:pPr>
        <w:pStyle w:val="ConsPlusNormal"/>
        <w:spacing w:before="220"/>
        <w:ind w:firstLine="540"/>
        <w:jc w:val="both"/>
      </w:pPr>
      <w:proofErr w:type="spellStart"/>
      <w:proofErr w:type="gramStart"/>
      <w:r>
        <w:t>S</w:t>
      </w:r>
      <w:proofErr w:type="gramEnd"/>
      <w:r>
        <w:t>к</w:t>
      </w:r>
      <w:proofErr w:type="spellEnd"/>
      <w:r>
        <w:t xml:space="preserve"> -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году;</w:t>
      </w:r>
    </w:p>
    <w:p w:rsidR="00F22961" w:rsidRDefault="00F22961">
      <w:pPr>
        <w:pStyle w:val="ConsPlusNormal"/>
        <w:spacing w:before="220"/>
        <w:ind w:firstLine="540"/>
        <w:jc w:val="both"/>
      </w:pPr>
      <w:proofErr w:type="spellStart"/>
      <w:proofErr w:type="gramStart"/>
      <w:r>
        <w:t>K</w:t>
      </w:r>
      <w:proofErr w:type="gramEnd"/>
      <w:r>
        <w:t>ф</w:t>
      </w:r>
      <w:proofErr w:type="spellEnd"/>
      <w:r>
        <w:t xml:space="preserve"> - коэффициент, выражающий уровень софинансирования расходного обязательства муниципального образования в соответствии с Соглашением.</w:t>
      </w:r>
    </w:p>
    <w:p w:rsidR="00F22961" w:rsidRDefault="00F22961">
      <w:pPr>
        <w:pStyle w:val="ConsPlusNormal"/>
        <w:spacing w:before="220"/>
        <w:ind w:firstLine="540"/>
        <w:jc w:val="both"/>
      </w:pPr>
      <w:hyperlink r:id="rId25">
        <w:r>
          <w:rPr>
            <w:color w:val="0000FF"/>
          </w:rPr>
          <w:t>23</w:t>
        </w:r>
      </w:hyperlink>
      <w:r>
        <w:t>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F22961" w:rsidRDefault="00F22961">
      <w:pPr>
        <w:pStyle w:val="ConsPlusNormal"/>
        <w:spacing w:before="220"/>
        <w:ind w:firstLine="540"/>
        <w:jc w:val="both"/>
      </w:pPr>
      <w:hyperlink r:id="rId26">
        <w:r>
          <w:rPr>
            <w:color w:val="0000FF"/>
          </w:rPr>
          <w:t>24</w:t>
        </w:r>
      </w:hyperlink>
      <w:r>
        <w:t xml:space="preserve">. </w:t>
      </w:r>
      <w:proofErr w:type="gramStart"/>
      <w:r>
        <w:t>Контроль за</w:t>
      </w:r>
      <w:proofErr w:type="gramEnd"/>
      <w:r>
        <w:t xml:space="preserve"> соблюдением получателями субсидий условий, целей и порядка, установленных при их предоставлении, осуществляется Министерством и органом государственного финансового контроля Мурманской области.</w:t>
      </w: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  <w:jc w:val="both"/>
      </w:pPr>
    </w:p>
    <w:p w:rsidR="00F22961" w:rsidRDefault="00F22961">
      <w:pPr>
        <w:pStyle w:val="ConsPlusNormal"/>
      </w:pPr>
      <w:hyperlink r:id="rId27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}}</w:t>
        </w:r>
      </w:hyperlink>
      <w:r>
        <w:br/>
      </w:r>
    </w:p>
    <w:p w:rsidR="000F3CEA" w:rsidRDefault="000F3CEA">
      <w:bookmarkStart w:id="7" w:name="_GoBack"/>
      <w:bookmarkEnd w:id="7"/>
    </w:p>
    <w:sectPr w:rsidR="000F3CEA" w:rsidSect="00121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61"/>
    <w:rsid w:val="000F3CEA"/>
    <w:rsid w:val="00F2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9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9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29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29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0598F8897E25C0EC5048FA8E9734CEF34D88E704CD86377D6662F94FB1DA0A3076B515E0CDDC404AB20686DF6AF1FA7A750B02375220881C23084Eb408I" TargetMode="External"/><Relationship Id="rId13" Type="http://schemas.openxmlformats.org/officeDocument/2006/relationships/hyperlink" Target="consultantplus://offline/ref=9A0598F8897E25C0EC5048FA8E9734CEF34D88E704CD80377B6962F94FB1DA0A3076B515E0CDDC404AB60384DF6AF1FA7A750B02375220881C23084Eb408I" TargetMode="External"/><Relationship Id="rId18" Type="http://schemas.openxmlformats.org/officeDocument/2006/relationships/hyperlink" Target="consultantplus://offline/ref=9A0598F8897E25C0EC5048FA8E9734CEF34D88E704CD8137796962F94FB1DA0A3076B515E0CDDC404AB20084D46AF1FA7A750B02375220881C23084Eb408I" TargetMode="External"/><Relationship Id="rId26" Type="http://schemas.openxmlformats.org/officeDocument/2006/relationships/hyperlink" Target="consultantplus://offline/ref=9A0598F8897E25C0EC5048FA8E9734CEF34D88E704CF813D7D6062F94FB1DA0A3076B515E0CDDC404AB20280DD6AF1FA7A750B02375220881C23084Eb40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A0598F8897E25C0EC5048FA8E9734CEF34D88E704CF813D7D6062F94FB1DA0A3076B515E0CDDC404AB20283DD6AF1FA7A750B02375220881C23084Eb408I" TargetMode="External"/><Relationship Id="rId7" Type="http://schemas.openxmlformats.org/officeDocument/2006/relationships/hyperlink" Target="consultantplus://offline/ref=9A0598F8897E25C0EC5048FA8E9734CEF34D88E704CE8D337F6062F94FB1DA0A3076B515E0CDDC404AB20282D56AF1FA7A750B02375220881C23084Eb408I" TargetMode="External"/><Relationship Id="rId12" Type="http://schemas.openxmlformats.org/officeDocument/2006/relationships/hyperlink" Target="consultantplus://offline/ref=9A0598F8897E25C0EC5048FA8E9734CEF34D88E704CE8331736062F94FB1DA0A3076B515F2CD844C4BB21C82D47FA7AB3Cb203I" TargetMode="External"/><Relationship Id="rId17" Type="http://schemas.openxmlformats.org/officeDocument/2006/relationships/hyperlink" Target="consultantplus://offline/ref=9A0598F8897E25C0EC5056F798FB6ACBF043D2EA05CF8E63273564AE10E1DC5F7036B343AB8CDA151BF6578FDD61BBAB363E040335b40FI" TargetMode="External"/><Relationship Id="rId25" Type="http://schemas.openxmlformats.org/officeDocument/2006/relationships/hyperlink" Target="consultantplus://offline/ref=9A0598F8897E25C0EC5048FA8E9734CEF34D88E704CF813D7D6062F94FB1DA0A3076B515E0CDDC404AB20280DD6AF1FA7A750B02375220881C23084Eb408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A0598F8897E25C0EC5048FA8E9734CEF34D88E704CD86377D6662F94FB1DA0A3076B515E0CDDC404AB20686DF6AF1FA7A750B02375220881C23084Eb408I" TargetMode="External"/><Relationship Id="rId20" Type="http://schemas.openxmlformats.org/officeDocument/2006/relationships/hyperlink" Target="consultantplus://offline/ref=9A0598F8897E25C0EC5048FA8E9734CEF34D88E704CE86327A6362F94FB1DA0A3076B515E0CDDC404AB20283DD6AF1FA7A750B02375220881C23084Eb408I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0598F8897E25C0EC5048FA8E9734CEF34D88E704CE86327A6362F94FB1DA0A3076B515E0CDDC404AB20282D56AF1FA7A750B02375220881C23084Eb408I" TargetMode="External"/><Relationship Id="rId11" Type="http://schemas.openxmlformats.org/officeDocument/2006/relationships/hyperlink" Target="consultantplus://offline/ref=9A0598F8897E25C0EC5048FA8E9734CEF34D88E704CD8137796962F94FB1DA0A3076B515F2CD844C4BB21C82D47FA7AB3Cb203I" TargetMode="External"/><Relationship Id="rId24" Type="http://schemas.openxmlformats.org/officeDocument/2006/relationships/hyperlink" Target="consultantplus://offline/ref=9A0598F8897E25C0EC5048FA8E9734CEF34D88E704CF813D7D6062F94FB1DA0A3076B515E0CDDC404AB20280DD6AF1FA7A750B02375220881C23084Eb408I" TargetMode="External"/><Relationship Id="rId5" Type="http://schemas.openxmlformats.org/officeDocument/2006/relationships/hyperlink" Target="consultantplus://offline/ref=9A0598F8897E25C0EC5048FA8E9734CEF34D88E704CF813D7D6062F94FB1DA0A3076B515E0CDDC404AB20282D56AF1FA7A750B02375220881C23084Eb408I" TargetMode="External"/><Relationship Id="rId15" Type="http://schemas.openxmlformats.org/officeDocument/2006/relationships/hyperlink" Target="consultantplus://offline/ref=9A0598F8897E25C0EC5048FA8E9734CEF34D88E704CE8D337F6062F94FB1DA0A3076B515E0CDDC404AB20282D56AF1FA7A750B02375220881C23084Eb408I" TargetMode="External"/><Relationship Id="rId23" Type="http://schemas.openxmlformats.org/officeDocument/2006/relationships/hyperlink" Target="consultantplus://offline/ref=9A0598F8897E25C0EC5048FA8E9734CEF34D88E704CF813D7D6062F94FB1DA0A3076B515E0CDDC404AB20283D86AF1FA7A750B02375220881C23084Eb408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9A0598F8897E25C0EC5056F798FB6ACBF043D2EA0CCE8E63273564AE10E1DC5F7036B343A28AD34A1EE346D7D160A5B53E281801374Eb203I" TargetMode="External"/><Relationship Id="rId19" Type="http://schemas.openxmlformats.org/officeDocument/2006/relationships/hyperlink" Target="consultantplus://offline/ref=9A0598F8897E25C0EC5048FA8E9734CEF34D88E704CE86327A6362F94FB1DA0A3076B515E0CDDC404AB20283DC6AF1FA7A750B02375220881C23084Eb40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0598F8897E25C0EC5048FA8E9734CEF34D88E704CD863C7A6062F94FB1DA0A3076B515E0CDDC404AB2008BDC6AF1FA7A750B02375220881C23084Eb408I" TargetMode="External"/><Relationship Id="rId14" Type="http://schemas.openxmlformats.org/officeDocument/2006/relationships/hyperlink" Target="consultantplus://offline/ref=9A0598F8897E25C0EC5048FA8E9734CEF34D88E704CD863C7A6062F94FB1DA0A3076B515E0CDDC404AB2008BDC6AF1FA7A750B02375220881C23084Eb408I" TargetMode="External"/><Relationship Id="rId22" Type="http://schemas.openxmlformats.org/officeDocument/2006/relationships/hyperlink" Target="consultantplus://offline/ref=9A0598F8897E25C0EC5048FA8E9734CEF34D88E704CF813D7D6062F94FB1DA0A3076B515E0CDDC404AB20283DF6AF1FA7A750B02375220881C23084Eb408I" TargetMode="External"/><Relationship Id="rId27" Type="http://schemas.openxmlformats.org/officeDocument/2006/relationships/hyperlink" Target="consultantplus://offline/ref=9A0598F8897E25C0EC5048FA8E9734CEF34D88E704CD80377B6962F94FB1DA0A3076B515E0CDDC404AB6028BD46AF1FA7A750B02375220881C23084Eb40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3162</Words>
  <Characters>18026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2023-08-10T08:52:00Z</dcterms:created>
  <dcterms:modified xsi:type="dcterms:W3CDTF">2023-08-10T08:53:00Z</dcterms:modified>
</cp:coreProperties>
</file>